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969"/>
        <w:gridCol w:w="3969"/>
      </w:tblGrid>
      <w:tr w:rsidR="00104BFA" w:rsidRPr="00D821B5" w:rsidTr="00104BFA">
        <w:trPr>
          <w:trHeight w:val="1017"/>
        </w:trPr>
        <w:tc>
          <w:tcPr>
            <w:tcW w:w="1526" w:type="dxa"/>
            <w:hideMark/>
          </w:tcPr>
          <w:p w:rsidR="00104BFA" w:rsidRPr="00D821B5" w:rsidRDefault="00104BFA" w:rsidP="00104B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1B5">
              <w:rPr>
                <w:rFonts w:ascii="Times New Roman" w:eastAsiaTheme="minorHAnsi" w:hAnsi="Times New Roman" w:cs="Times New Roman"/>
              </w:rPr>
              <w:object w:dxaOrig="6135" w:dyaOrig="6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4pt" o:ole="">
                  <v:imagedata r:id="rId4" o:title=""/>
                </v:shape>
                <o:OLEObject Type="Embed" ProgID="PBrush" ShapeID="_x0000_i1025" DrawAspect="Content" ObjectID="_1600764083" r:id="rId5"/>
              </w:object>
            </w:r>
          </w:p>
        </w:tc>
        <w:tc>
          <w:tcPr>
            <w:tcW w:w="3969" w:type="dxa"/>
            <w:hideMark/>
          </w:tcPr>
          <w:p w:rsidR="00104BFA" w:rsidRPr="00D821B5" w:rsidRDefault="00104BFA" w:rsidP="00104BFA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D821B5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ООО «НКЦ «ЛАБТЕСТ»  </w:t>
            </w:r>
          </w:p>
          <w:p w:rsidR="00104BFA" w:rsidRPr="00D821B5" w:rsidRDefault="00104BFA" w:rsidP="00104BFA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D821B5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Россия, Москва, 123557, </w:t>
            </w:r>
          </w:p>
          <w:p w:rsidR="00104BFA" w:rsidRPr="00D821B5" w:rsidRDefault="00104BFA" w:rsidP="00104BFA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D821B5">
              <w:rPr>
                <w:rFonts w:ascii="Times New Roman" w:eastAsiaTheme="minorHAnsi" w:hAnsi="Times New Roman" w:cs="Times New Roman"/>
                <w:sz w:val="16"/>
                <w:szCs w:val="16"/>
              </w:rPr>
              <w:t>Большой Тишинский пер.38</w:t>
            </w:r>
          </w:p>
          <w:p w:rsidR="00104BFA" w:rsidRPr="00D821B5" w:rsidRDefault="00104BFA" w:rsidP="00104BFA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D821B5">
              <w:rPr>
                <w:rFonts w:ascii="Times New Roman" w:eastAsiaTheme="minorHAnsi" w:hAnsi="Times New Roman" w:cs="Times New Roman"/>
                <w:sz w:val="16"/>
                <w:szCs w:val="16"/>
              </w:rPr>
              <w:t>Тел:  +7 (495) 605 3507, 605 3610</w:t>
            </w:r>
          </w:p>
          <w:p w:rsidR="00104BFA" w:rsidRPr="00D821B5" w:rsidRDefault="00104BFA" w:rsidP="00104BFA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D821B5">
              <w:rPr>
                <w:rFonts w:ascii="Times New Roman" w:eastAsiaTheme="minorHAnsi" w:hAnsi="Times New Roman" w:cs="Times New Roman"/>
                <w:sz w:val="16"/>
                <w:szCs w:val="16"/>
              </w:rPr>
              <w:t>Факс: +7 (495) 518 9452</w:t>
            </w:r>
          </w:p>
          <w:p w:rsidR="00104BFA" w:rsidRPr="00D821B5" w:rsidRDefault="005B6FF1" w:rsidP="00104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104BFA" w:rsidRPr="00D821B5">
                <w:rPr>
                  <w:rFonts w:ascii="Times New Roman" w:eastAsiaTheme="minorHAnsi" w:hAnsi="Times New Roman" w:cs="Times New Roman"/>
                  <w:sz w:val="16"/>
                  <w:szCs w:val="16"/>
                </w:rPr>
                <w:t>info@lab-test.ru</w:t>
              </w:r>
            </w:hyperlink>
            <w:r w:rsidR="00104BFA" w:rsidRPr="00D821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04BFA" w:rsidRPr="00D821B5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>www</w:t>
            </w:r>
            <w:r w:rsidR="00104BFA" w:rsidRPr="00D821B5">
              <w:rPr>
                <w:rFonts w:ascii="Times New Roman" w:eastAsiaTheme="minorHAnsi" w:hAnsi="Times New Roman" w:cs="Times New Roman"/>
                <w:sz w:val="16"/>
                <w:szCs w:val="16"/>
              </w:rPr>
              <w:t>.</w:t>
            </w:r>
            <w:r w:rsidR="00104BFA" w:rsidRPr="00D821B5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>lab</w:t>
            </w:r>
            <w:r w:rsidR="00104BFA" w:rsidRPr="00D821B5">
              <w:rPr>
                <w:rFonts w:ascii="Times New Roman" w:eastAsiaTheme="minorHAnsi" w:hAnsi="Times New Roman" w:cs="Times New Roman"/>
                <w:sz w:val="16"/>
                <w:szCs w:val="16"/>
              </w:rPr>
              <w:t>-</w:t>
            </w:r>
            <w:r w:rsidR="00104BFA" w:rsidRPr="00D821B5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>test</w:t>
            </w:r>
            <w:r w:rsidR="00104BFA" w:rsidRPr="00D821B5">
              <w:rPr>
                <w:rFonts w:ascii="Times New Roman" w:eastAsiaTheme="minorHAnsi" w:hAnsi="Times New Roman" w:cs="Times New Roman"/>
                <w:sz w:val="16"/>
                <w:szCs w:val="16"/>
              </w:rPr>
              <w:t>.</w:t>
            </w:r>
            <w:proofErr w:type="spellStart"/>
            <w:r w:rsidR="00104BFA" w:rsidRPr="00D821B5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104BFA" w:rsidRPr="00D821B5" w:rsidRDefault="00104BFA" w:rsidP="00104BFA">
            <w:pPr>
              <w:jc w:val="right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  <w:r w:rsidRPr="00D821B5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150944" cy="730049"/>
                  <wp:effectExtent l="19050" t="0" r="1706" b="0"/>
                  <wp:docPr id="1" name="Рисунок 17" descr="\\lt.local\labtest\BUSINESS\ADVERTIZMENT\ЛОГОТИПЫ\ЛОГОТИПЫ ПРОИЗВОДИТЕЛЕЙ\IS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lt.local\labtest\BUSINESS\ADVERTIZMENT\ЛОГОТИПЫ\ЛОГОТИПЫ ПРОИЗВОДИТЕЛЕЙ\IS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536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0C6" w:rsidRPr="00D821B5" w:rsidRDefault="009550C6" w:rsidP="009550C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50C6" w:rsidRPr="00D821B5" w:rsidRDefault="005B6FF1" w:rsidP="009550C6">
      <w:pPr>
        <w:spacing w:after="0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D821B5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9550C6" w:rsidRPr="00D821B5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"https://lab-test.ru/oborudovanie/nauchnoe-i-kontrolno-analiticheskoe-oborudovanie/molekulyarnyj-analiz/spektrofluorimetry-s-razresheniem-po-vremeni-i-schetom-fotonov2015-10-30-09-43-321519663812/chronosdfd-fluorimetr-s-tsifrovoj-obrabotkoj-signalov-v-chast" </w:instrText>
      </w:r>
      <w:r w:rsidRPr="00D821B5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9550C6" w:rsidRPr="00D821B5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Применение спектрофлуориметра </w:t>
      </w:r>
      <w:r w:rsidR="009550C6" w:rsidRPr="00D821B5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ChronosDFD</w:t>
      </w:r>
      <w:r w:rsidR="009550C6" w:rsidRPr="00D821B5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с цифровой </w:t>
      </w:r>
    </w:p>
    <w:p w:rsidR="009550C6" w:rsidRPr="00D821B5" w:rsidRDefault="009550C6" w:rsidP="009550C6">
      <w:pPr>
        <w:spacing w:after="0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D821B5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обработкой сигнала в частотной области (</w:t>
      </w:r>
      <w:r w:rsidRPr="00D821B5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ISS</w:t>
      </w:r>
      <w:r w:rsidRPr="00D821B5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, США) </w:t>
      </w:r>
    </w:p>
    <w:p w:rsidR="009550C6" w:rsidRDefault="009550C6" w:rsidP="00AA55AE">
      <w:pPr>
        <w:spacing w:after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21B5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в биохимических исследованиях.</w:t>
      </w:r>
      <w:r w:rsidR="005B6FF1" w:rsidRPr="00D821B5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D821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A55AE" w:rsidRDefault="00AA55AE" w:rsidP="0095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55AE" w:rsidRPr="00E8387E" w:rsidRDefault="00AA55AE" w:rsidP="00AA55A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AA55AE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Аннотация</w:t>
      </w:r>
      <w:r w:rsidRPr="00E8387E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AA55AE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статьи</w:t>
      </w:r>
      <w:r w:rsidRPr="00E8387E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:</w:t>
      </w:r>
    </w:p>
    <w:p w:rsidR="00AA55AE" w:rsidRPr="00AA55AE" w:rsidRDefault="005B6FF1" w:rsidP="00AA55AE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</w:pPr>
      <w:r w:rsidRPr="00AA55AE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fldChar w:fldCharType="begin"/>
      </w:r>
      <w:r w:rsidR="00AA55AE" w:rsidRPr="00AA55AE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instrText xml:space="preserve"> HYPERLINK "https://pubs.acs.org/doi/10.1021/bc200506w" </w:instrText>
      </w:r>
      <w:r w:rsidRPr="00AA55AE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fldChar w:fldCharType="separate"/>
      </w:r>
      <w:r w:rsidR="00AA55AE" w:rsidRPr="00AA55AE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DEVELOPING RED-EMISSIVE RUTHENIUM(II) COMPLEX-BASED LUMINESCENT</w:t>
      </w:r>
    </w:p>
    <w:p w:rsidR="00AA55AE" w:rsidRPr="00AA55AE" w:rsidRDefault="00AA55AE" w:rsidP="00AA55AE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</w:pPr>
      <w:r w:rsidRPr="00AA55AE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PROBES FOR CELLULAR IMAGING</w:t>
      </w:r>
    </w:p>
    <w:p w:rsidR="00AA55AE" w:rsidRPr="00AA55AE" w:rsidRDefault="00AA55AE" w:rsidP="00AA55AE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i/>
          <w:color w:val="000000" w:themeColor="text1"/>
          <w:sz w:val="20"/>
          <w:szCs w:val="20"/>
          <w:u w:val="none"/>
          <w:lang w:val="en-US"/>
        </w:rPr>
      </w:pPr>
      <w:r w:rsidRPr="00AA55AE">
        <w:rPr>
          <w:rStyle w:val="a3"/>
          <w:rFonts w:ascii="Times New Roman" w:hAnsi="Times New Roman" w:cs="Times New Roman"/>
          <w:i/>
          <w:color w:val="000000" w:themeColor="text1"/>
          <w:sz w:val="20"/>
          <w:szCs w:val="20"/>
          <w:u w:val="none"/>
          <w:lang w:val="en-US"/>
        </w:rPr>
        <w:t>Zhang, R., Ye, Z., Yin, Y., Wang, G., Jin, D., Yuan, J., Piper, J.A.</w:t>
      </w:r>
      <w:r w:rsidRPr="00AA55AE">
        <w:rPr>
          <w:rStyle w:val="a3"/>
          <w:rFonts w:ascii="Times New Roman" w:hAnsi="Times New Roman" w:cs="Times New Roman"/>
          <w:i/>
          <w:color w:val="000000" w:themeColor="text1"/>
          <w:sz w:val="20"/>
          <w:szCs w:val="20"/>
          <w:u w:val="none"/>
          <w:lang w:val="en-US"/>
        </w:rPr>
        <w:br/>
      </w:r>
      <w:proofErr w:type="spellStart"/>
      <w:r w:rsidRPr="00AA55AE">
        <w:rPr>
          <w:rStyle w:val="a3"/>
          <w:rFonts w:ascii="Times New Roman" w:hAnsi="Times New Roman" w:cs="Times New Roman"/>
          <w:i/>
          <w:iCs/>
          <w:color w:val="000000" w:themeColor="text1"/>
          <w:sz w:val="20"/>
          <w:szCs w:val="20"/>
          <w:u w:val="none"/>
          <w:lang w:val="en-US"/>
        </w:rPr>
        <w:t>Bioconjug</w:t>
      </w:r>
      <w:proofErr w:type="spellEnd"/>
      <w:r w:rsidRPr="00AA55AE">
        <w:rPr>
          <w:rStyle w:val="a3"/>
          <w:rFonts w:ascii="Times New Roman" w:hAnsi="Times New Roman" w:cs="Times New Roman"/>
          <w:i/>
          <w:iCs/>
          <w:color w:val="000000" w:themeColor="text1"/>
          <w:sz w:val="20"/>
          <w:szCs w:val="20"/>
          <w:u w:val="none"/>
          <w:lang w:val="en-US"/>
        </w:rPr>
        <w:t xml:space="preserve"> Chem., 2012, 23(4), 725-33.</w:t>
      </w:r>
      <w:r w:rsidR="005B6FF1" w:rsidRPr="00AA55AE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fldChar w:fldCharType="end"/>
      </w:r>
    </w:p>
    <w:p w:rsidR="009550C6" w:rsidRPr="00D37A9F" w:rsidRDefault="009550C6" w:rsidP="00AA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550C6" w:rsidRPr="00D821B5" w:rsidRDefault="00041440" w:rsidP="0095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РАЗВИТИЕ ЛЮМИНЕСЦЕНТНЫХ ЗОНДОВ С ЭМИССИЕЙ В КРАСНОЙ ЧАСТИ СПЕКТРА НА ОСНОВЕ РУТЕНИЯ 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AA55AE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ДЛЯ ВИЗУАЛИЗАЦИИ КЛЕТОК</w:t>
      </w:r>
    </w:p>
    <w:p w:rsidR="009550C6" w:rsidRDefault="009550C6" w:rsidP="0095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0C79" w:rsidRDefault="00253FA8" w:rsidP="00E838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последние два десятилетия </w:t>
      </w:r>
      <w:r w:rsidR="00A66066">
        <w:rPr>
          <w:rFonts w:ascii="Times New Roman" w:hAnsi="Times New Roman" w:cs="Times New Roman"/>
          <w:sz w:val="20"/>
          <w:szCs w:val="20"/>
        </w:rPr>
        <w:t xml:space="preserve">методы исследования, использующие </w:t>
      </w:r>
      <w:r>
        <w:rPr>
          <w:rFonts w:ascii="Times New Roman" w:hAnsi="Times New Roman" w:cs="Times New Roman"/>
          <w:sz w:val="20"/>
          <w:szCs w:val="20"/>
        </w:rPr>
        <w:t>флуоресцентные метки и зонды</w:t>
      </w:r>
      <w:r w:rsidR="00A6606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произвели революцию в таких областях как биохимия, молекулярная биология и кли</w:t>
      </w:r>
      <w:r w:rsidR="00A66066">
        <w:rPr>
          <w:rFonts w:ascii="Times New Roman" w:hAnsi="Times New Roman" w:cs="Times New Roman"/>
          <w:sz w:val="20"/>
          <w:szCs w:val="20"/>
        </w:rPr>
        <w:t>ническая диагностика</w:t>
      </w:r>
      <w:r w:rsidR="00550C79">
        <w:rPr>
          <w:rFonts w:ascii="Times New Roman" w:hAnsi="Times New Roman" w:cs="Times New Roman"/>
          <w:sz w:val="20"/>
          <w:szCs w:val="20"/>
        </w:rPr>
        <w:t xml:space="preserve">. </w:t>
      </w:r>
      <w:r w:rsidR="00A66066">
        <w:rPr>
          <w:rFonts w:ascii="Times New Roman" w:hAnsi="Times New Roman" w:cs="Times New Roman"/>
          <w:sz w:val="20"/>
          <w:szCs w:val="20"/>
        </w:rPr>
        <w:t>Данные методы отличаются простотой, чувствительностью, специфичностью и надёжностью при проведении исследований</w:t>
      </w:r>
      <w:r w:rsidR="00A66066" w:rsidRPr="00A66066">
        <w:rPr>
          <w:rFonts w:ascii="Times New Roman" w:hAnsi="Times New Roman" w:cs="Times New Roman"/>
          <w:i/>
          <w:sz w:val="20"/>
          <w:szCs w:val="20"/>
        </w:rPr>
        <w:t xml:space="preserve"> in vivo</w:t>
      </w:r>
      <w:r w:rsidR="00A66066" w:rsidRPr="00A66066">
        <w:rPr>
          <w:rFonts w:ascii="Times New Roman" w:hAnsi="Times New Roman" w:cs="Times New Roman"/>
          <w:sz w:val="20"/>
          <w:szCs w:val="20"/>
        </w:rPr>
        <w:t xml:space="preserve"> и </w:t>
      </w:r>
      <w:r w:rsidR="00A66066" w:rsidRPr="00A66066">
        <w:rPr>
          <w:rFonts w:ascii="Times New Roman" w:hAnsi="Times New Roman" w:cs="Times New Roman"/>
          <w:i/>
          <w:sz w:val="20"/>
          <w:szCs w:val="20"/>
        </w:rPr>
        <w:t xml:space="preserve">in </w:t>
      </w:r>
      <w:proofErr w:type="spellStart"/>
      <w:r w:rsidR="00A66066" w:rsidRPr="00A66066">
        <w:rPr>
          <w:rFonts w:ascii="Times New Roman" w:hAnsi="Times New Roman" w:cs="Times New Roman"/>
          <w:i/>
          <w:sz w:val="20"/>
          <w:szCs w:val="20"/>
        </w:rPr>
        <w:t>vitro</w:t>
      </w:r>
      <w:proofErr w:type="spellEnd"/>
      <w:r w:rsidR="00A66066">
        <w:rPr>
          <w:rFonts w:ascii="Times New Roman" w:hAnsi="Times New Roman" w:cs="Times New Roman"/>
          <w:sz w:val="20"/>
          <w:szCs w:val="20"/>
        </w:rPr>
        <w:t xml:space="preserve">. </w:t>
      </w:r>
      <w:r w:rsidR="00573588">
        <w:rPr>
          <w:rFonts w:ascii="Times New Roman" w:hAnsi="Times New Roman" w:cs="Times New Roman"/>
          <w:sz w:val="20"/>
          <w:szCs w:val="20"/>
        </w:rPr>
        <w:t>В последнее время основные усилия исследователей направлены на создание флуоресцентных меток и зондов, флуоресценция которых находится в зависимости от выполнения тех или иных биохимических условий. Эт</w:t>
      </w:r>
      <w:r w:rsidR="00550C79">
        <w:rPr>
          <w:rFonts w:ascii="Times New Roman" w:hAnsi="Times New Roman" w:cs="Times New Roman"/>
          <w:sz w:val="20"/>
          <w:szCs w:val="20"/>
        </w:rPr>
        <w:t>и метки и зонды упрощают</w:t>
      </w:r>
      <w:r w:rsidR="00573588">
        <w:rPr>
          <w:rFonts w:ascii="Times New Roman" w:hAnsi="Times New Roman" w:cs="Times New Roman"/>
          <w:sz w:val="20"/>
          <w:szCs w:val="20"/>
        </w:rPr>
        <w:t xml:space="preserve"> визуализацию внутриклеточных процессов</w:t>
      </w:r>
      <w:r w:rsidR="00550C79">
        <w:rPr>
          <w:rFonts w:ascii="Times New Roman" w:hAnsi="Times New Roman" w:cs="Times New Roman"/>
          <w:sz w:val="20"/>
          <w:szCs w:val="20"/>
        </w:rPr>
        <w:t xml:space="preserve">, присутствие тех или иных биологических макромолекул и внутриклеточных структур и их взаимодействие между собой могут быть выявлены с помощью флуоресцентного микроскопа. </w:t>
      </w:r>
      <w:r w:rsidR="00633AA0">
        <w:rPr>
          <w:rFonts w:ascii="Times New Roman" w:hAnsi="Times New Roman" w:cs="Times New Roman"/>
          <w:sz w:val="20"/>
          <w:szCs w:val="20"/>
        </w:rPr>
        <w:t xml:space="preserve">Как правило, структура флуоресцентного зонда </w:t>
      </w:r>
      <w:r w:rsidR="00633AA0" w:rsidRPr="00633AA0">
        <w:rPr>
          <w:rFonts w:ascii="Times New Roman" w:hAnsi="Times New Roman" w:cs="Times New Roman"/>
          <w:sz w:val="20"/>
          <w:szCs w:val="20"/>
        </w:rPr>
        <w:t>включает флуоресцентное «ядро» и  «переключатель»</w:t>
      </w:r>
      <w:r w:rsidR="00E8387E">
        <w:rPr>
          <w:rFonts w:ascii="Times New Roman" w:hAnsi="Times New Roman" w:cs="Times New Roman"/>
          <w:sz w:val="20"/>
          <w:szCs w:val="20"/>
        </w:rPr>
        <w:t>, передающий возбуждение на ядро, по одному из возможных механизмов (</w:t>
      </w:r>
      <w:r w:rsidR="000C49AF">
        <w:rPr>
          <w:rFonts w:ascii="Times New Roman" w:hAnsi="Times New Roman" w:cs="Times New Roman"/>
          <w:sz w:val="20"/>
          <w:szCs w:val="20"/>
        </w:rPr>
        <w:t>фотоиндуцированный перенос электрона, внутренний перенос заряда, пе</w:t>
      </w:r>
      <w:r w:rsidR="004149E2">
        <w:rPr>
          <w:rFonts w:ascii="Times New Roman" w:hAnsi="Times New Roman" w:cs="Times New Roman"/>
          <w:sz w:val="20"/>
          <w:szCs w:val="20"/>
        </w:rPr>
        <w:t>р</w:t>
      </w:r>
      <w:r w:rsidR="0057639F">
        <w:rPr>
          <w:rFonts w:ascii="Times New Roman" w:hAnsi="Times New Roman" w:cs="Times New Roman"/>
          <w:sz w:val="20"/>
          <w:szCs w:val="20"/>
        </w:rPr>
        <w:t xml:space="preserve">енос энергии электрона, </w:t>
      </w:r>
      <w:r w:rsidR="000C49AF">
        <w:rPr>
          <w:rFonts w:ascii="Times New Roman" w:hAnsi="Times New Roman" w:cs="Times New Roman"/>
          <w:sz w:val="20"/>
          <w:szCs w:val="20"/>
        </w:rPr>
        <w:t>обра</w:t>
      </w:r>
      <w:r w:rsidR="0057639F">
        <w:rPr>
          <w:rFonts w:ascii="Times New Roman" w:hAnsi="Times New Roman" w:cs="Times New Roman"/>
          <w:sz w:val="20"/>
          <w:szCs w:val="20"/>
        </w:rPr>
        <w:t>зование эксимеров</w:t>
      </w:r>
      <w:r w:rsidR="00E8387E">
        <w:rPr>
          <w:rFonts w:ascii="Times New Roman" w:hAnsi="Times New Roman" w:cs="Times New Roman"/>
          <w:sz w:val="20"/>
          <w:szCs w:val="20"/>
        </w:rPr>
        <w:t>)</w:t>
      </w:r>
      <w:r w:rsidR="0057639F">
        <w:rPr>
          <w:rFonts w:ascii="Times New Roman" w:hAnsi="Times New Roman" w:cs="Times New Roman"/>
          <w:sz w:val="20"/>
          <w:szCs w:val="20"/>
        </w:rPr>
        <w:t>.</w:t>
      </w:r>
    </w:p>
    <w:p w:rsidR="0057639F" w:rsidRDefault="00E8387E" w:rsidP="00A660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084370">
        <w:rPr>
          <w:rFonts w:ascii="Times New Roman" w:hAnsi="Times New Roman" w:cs="Times New Roman"/>
          <w:sz w:val="20"/>
          <w:szCs w:val="20"/>
        </w:rPr>
        <w:t xml:space="preserve"> последнее время </w:t>
      </w:r>
      <w:r>
        <w:rPr>
          <w:rFonts w:ascii="Times New Roman" w:hAnsi="Times New Roman" w:cs="Times New Roman"/>
          <w:sz w:val="20"/>
          <w:szCs w:val="20"/>
        </w:rPr>
        <w:t xml:space="preserve">все большее </w:t>
      </w:r>
      <w:r w:rsidR="00084370">
        <w:rPr>
          <w:rFonts w:ascii="Times New Roman" w:hAnsi="Times New Roman" w:cs="Times New Roman"/>
          <w:sz w:val="20"/>
          <w:szCs w:val="20"/>
        </w:rPr>
        <w:t xml:space="preserve">внимание исследователей вызывают обладающие эмиссионными свойствами комплексы переходных металлов, таких как Ru (II), Re (I) </w:t>
      </w:r>
      <w:r w:rsidR="00084370" w:rsidRPr="00084370">
        <w:rPr>
          <w:rFonts w:ascii="Times New Roman" w:hAnsi="Times New Roman" w:cs="Times New Roman"/>
          <w:sz w:val="20"/>
          <w:szCs w:val="20"/>
        </w:rPr>
        <w:t>и</w:t>
      </w:r>
      <w:r w:rsidR="00084370">
        <w:rPr>
          <w:rFonts w:ascii="Times New Roman" w:hAnsi="Times New Roman" w:cs="Times New Roman"/>
          <w:sz w:val="20"/>
          <w:szCs w:val="20"/>
        </w:rPr>
        <w:t xml:space="preserve"> Ir (III). Исследователей привлекают такие их свойства как высокие значения стоксова сдвига, высокая фото-, те</w:t>
      </w:r>
      <w:r>
        <w:rPr>
          <w:rFonts w:ascii="Times New Roman" w:hAnsi="Times New Roman" w:cs="Times New Roman"/>
          <w:sz w:val="20"/>
          <w:szCs w:val="20"/>
        </w:rPr>
        <w:t xml:space="preserve">рмо- и химическая стабильность, и </w:t>
      </w:r>
      <w:r w:rsidR="00837F74">
        <w:rPr>
          <w:rFonts w:ascii="Times New Roman" w:hAnsi="Times New Roman" w:cs="Times New Roman"/>
          <w:sz w:val="20"/>
          <w:szCs w:val="20"/>
        </w:rPr>
        <w:t xml:space="preserve">низкая цитотоксичность. </w:t>
      </w:r>
      <w:r>
        <w:rPr>
          <w:rFonts w:ascii="Times New Roman" w:hAnsi="Times New Roman" w:cs="Times New Roman"/>
          <w:sz w:val="20"/>
          <w:szCs w:val="20"/>
        </w:rPr>
        <w:t>В отличие</w:t>
      </w:r>
      <w:r w:rsidR="001F3EB5">
        <w:rPr>
          <w:rFonts w:ascii="Times New Roman" w:hAnsi="Times New Roman" w:cs="Times New Roman"/>
          <w:sz w:val="20"/>
          <w:szCs w:val="20"/>
        </w:rPr>
        <w:t xml:space="preserve"> от других флуорофоров люминесцентные комплексы Ru (II) </w:t>
      </w:r>
      <w:r w:rsidR="009B0729">
        <w:rPr>
          <w:rFonts w:ascii="Times New Roman" w:hAnsi="Times New Roman" w:cs="Times New Roman"/>
          <w:sz w:val="20"/>
          <w:szCs w:val="20"/>
        </w:rPr>
        <w:t>могут содержать</w:t>
      </w:r>
      <w:r w:rsidR="001F3EB5">
        <w:rPr>
          <w:rFonts w:ascii="Times New Roman" w:hAnsi="Times New Roman" w:cs="Times New Roman"/>
          <w:sz w:val="20"/>
          <w:szCs w:val="20"/>
        </w:rPr>
        <w:t xml:space="preserve"> до трёх дииминовых лигандов, как правило, на основе производных бипиридина, фенантролина или батофенантролина. </w:t>
      </w:r>
      <w:r w:rsidR="009B0729">
        <w:rPr>
          <w:rFonts w:ascii="Times New Roman" w:hAnsi="Times New Roman" w:cs="Times New Roman"/>
          <w:sz w:val="20"/>
          <w:szCs w:val="20"/>
        </w:rPr>
        <w:t>Поскольку каждый диим</w:t>
      </w:r>
      <w:r w:rsidR="00E61E36">
        <w:rPr>
          <w:rFonts w:ascii="Times New Roman" w:hAnsi="Times New Roman" w:cs="Times New Roman"/>
          <w:sz w:val="20"/>
          <w:szCs w:val="20"/>
        </w:rPr>
        <w:t>и</w:t>
      </w:r>
      <w:r w:rsidR="009B0729">
        <w:rPr>
          <w:rFonts w:ascii="Times New Roman" w:hAnsi="Times New Roman" w:cs="Times New Roman"/>
          <w:sz w:val="20"/>
          <w:szCs w:val="20"/>
        </w:rPr>
        <w:t xml:space="preserve">новый лиганд может быть модифицирован путём привязывания к нему «переключателя», комплекс Ru (II) может содержать до трёх «переключателей». </w:t>
      </w:r>
      <w:r w:rsidR="00DB72BB">
        <w:rPr>
          <w:rFonts w:ascii="Times New Roman" w:hAnsi="Times New Roman" w:cs="Times New Roman"/>
          <w:sz w:val="20"/>
          <w:szCs w:val="20"/>
        </w:rPr>
        <w:t xml:space="preserve"> Это может быть использовано</w:t>
      </w:r>
      <w:r w:rsidR="00E61E36">
        <w:rPr>
          <w:rFonts w:ascii="Times New Roman" w:hAnsi="Times New Roman" w:cs="Times New Roman"/>
          <w:sz w:val="20"/>
          <w:szCs w:val="20"/>
        </w:rPr>
        <w:t xml:space="preserve"> для создания флуоресцентных зондов, обладающих повышенно чувствительностью и специфичностью к определяемым аналитам. </w:t>
      </w:r>
      <w:r>
        <w:rPr>
          <w:rFonts w:ascii="Times New Roman" w:hAnsi="Times New Roman" w:cs="Times New Roman"/>
          <w:sz w:val="20"/>
          <w:szCs w:val="20"/>
        </w:rPr>
        <w:t>Вопрос о влиянии</w:t>
      </w:r>
      <w:r w:rsidR="00DB72BB">
        <w:rPr>
          <w:rFonts w:ascii="Times New Roman" w:hAnsi="Times New Roman" w:cs="Times New Roman"/>
          <w:sz w:val="20"/>
          <w:szCs w:val="20"/>
        </w:rPr>
        <w:t xml:space="preserve"> количества</w:t>
      </w:r>
      <w:r w:rsidR="00E61E36">
        <w:rPr>
          <w:rFonts w:ascii="Times New Roman" w:hAnsi="Times New Roman" w:cs="Times New Roman"/>
          <w:sz w:val="20"/>
          <w:szCs w:val="20"/>
        </w:rPr>
        <w:t xml:space="preserve"> «переключателей» </w:t>
      </w:r>
      <w:r w:rsidR="00DB72BB">
        <w:rPr>
          <w:rFonts w:ascii="Times New Roman" w:hAnsi="Times New Roman" w:cs="Times New Roman"/>
          <w:sz w:val="20"/>
          <w:szCs w:val="20"/>
        </w:rPr>
        <w:t xml:space="preserve">на </w:t>
      </w:r>
      <w:r w:rsidR="00E61E36">
        <w:rPr>
          <w:rFonts w:ascii="Times New Roman" w:hAnsi="Times New Roman" w:cs="Times New Roman"/>
          <w:sz w:val="20"/>
          <w:szCs w:val="20"/>
        </w:rPr>
        <w:t xml:space="preserve">люминесцентные свойства </w:t>
      </w:r>
      <w:r w:rsidR="00DB72BB">
        <w:rPr>
          <w:rFonts w:ascii="Times New Roman" w:hAnsi="Times New Roman" w:cs="Times New Roman"/>
          <w:sz w:val="20"/>
          <w:szCs w:val="20"/>
        </w:rPr>
        <w:t xml:space="preserve">комплексов Ru (II) остаётся </w:t>
      </w:r>
      <w:r>
        <w:rPr>
          <w:rFonts w:ascii="Times New Roman" w:hAnsi="Times New Roman" w:cs="Times New Roman"/>
          <w:sz w:val="20"/>
          <w:szCs w:val="20"/>
        </w:rPr>
        <w:t>не до конца исследованным.</w:t>
      </w:r>
    </w:p>
    <w:p w:rsidR="000F4F4E" w:rsidRPr="00D821B5" w:rsidRDefault="00DB72BB" w:rsidP="000F4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Одна из работ в этой области принадлежит группе австралийских и китайских исследователей во главе с </w:t>
      </w:r>
      <w:proofErr w:type="spellStart"/>
      <w:r>
        <w:rPr>
          <w:rFonts w:ascii="Times New Roman" w:hAnsi="Times New Roman" w:cs="Times New Roman"/>
          <w:sz w:val="20"/>
          <w:szCs w:val="20"/>
        </w:rPr>
        <w:t>Чжицяном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Цзинли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Юанем из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Даляньского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технолог</w:t>
      </w:r>
      <w:r w:rsidR="00E8387E">
        <w:rPr>
          <w:rFonts w:ascii="Times New Roman" w:hAnsi="Times New Roman" w:cs="Times New Roman"/>
          <w:sz w:val="20"/>
          <w:szCs w:val="20"/>
        </w:rPr>
        <w:t>ического университета. Их исследование было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E8387E">
        <w:rPr>
          <w:rFonts w:ascii="Times New Roman" w:hAnsi="Times New Roman" w:cs="Times New Roman"/>
          <w:sz w:val="20"/>
          <w:szCs w:val="20"/>
        </w:rPr>
        <w:t>освящено</w:t>
      </w:r>
      <w:r>
        <w:rPr>
          <w:rFonts w:ascii="Times New Roman" w:hAnsi="Times New Roman" w:cs="Times New Roman"/>
          <w:sz w:val="20"/>
          <w:szCs w:val="20"/>
        </w:rPr>
        <w:t xml:space="preserve"> синтезу и исследованию фотофизических свойств комплексов </w:t>
      </w:r>
      <w:r w:rsidRPr="00DB72BB">
        <w:rPr>
          <w:rFonts w:ascii="Times New Roman" w:hAnsi="Times New Roman" w:cs="Times New Roman"/>
          <w:sz w:val="20"/>
          <w:szCs w:val="20"/>
        </w:rPr>
        <w:t xml:space="preserve">Ru(II) с производными </w:t>
      </w:r>
      <w:r w:rsidR="009F45B5">
        <w:rPr>
          <w:rFonts w:ascii="Times New Roman" w:hAnsi="Times New Roman" w:cs="Times New Roman"/>
          <w:sz w:val="20"/>
          <w:szCs w:val="20"/>
        </w:rPr>
        <w:t>2,2'-</w:t>
      </w:r>
      <w:r w:rsidRPr="00DB72BB">
        <w:rPr>
          <w:rFonts w:ascii="Times New Roman" w:hAnsi="Times New Roman" w:cs="Times New Roman"/>
          <w:sz w:val="20"/>
          <w:szCs w:val="20"/>
        </w:rPr>
        <w:t>бипиридина</w:t>
      </w:r>
      <w:r w:rsidR="009F45B5">
        <w:rPr>
          <w:rFonts w:ascii="Times New Roman" w:hAnsi="Times New Roman" w:cs="Times New Roman"/>
          <w:sz w:val="20"/>
          <w:szCs w:val="20"/>
        </w:rPr>
        <w:t xml:space="preserve"> и </w:t>
      </w:r>
      <w:r w:rsidR="009F45B5" w:rsidRPr="009F45B5">
        <w:rPr>
          <w:rFonts w:ascii="Times New Roman" w:hAnsi="Times New Roman" w:cs="Times New Roman"/>
          <w:sz w:val="20"/>
          <w:szCs w:val="20"/>
        </w:rPr>
        <w:t>4-(4-(2,4-</w:t>
      </w:r>
      <w:r w:rsidR="009F45B5">
        <w:rPr>
          <w:rFonts w:ascii="Times New Roman" w:hAnsi="Times New Roman" w:cs="Times New Roman"/>
          <w:sz w:val="20"/>
          <w:szCs w:val="20"/>
        </w:rPr>
        <w:t>динтрофенокси)-фенил)-2,2</w:t>
      </w:r>
      <w:r w:rsidR="009F45B5" w:rsidRPr="009F45B5">
        <w:rPr>
          <w:rFonts w:ascii="Times New Roman" w:hAnsi="Times New Roman" w:cs="Times New Roman"/>
          <w:sz w:val="20"/>
          <w:szCs w:val="20"/>
        </w:rPr>
        <w:t>’-</w:t>
      </w:r>
      <w:r w:rsidR="009F45B5">
        <w:rPr>
          <w:rFonts w:ascii="Times New Roman" w:hAnsi="Times New Roman" w:cs="Times New Roman"/>
          <w:sz w:val="20"/>
          <w:szCs w:val="20"/>
        </w:rPr>
        <w:t>бипиридина)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F45B5">
        <w:rPr>
          <w:rFonts w:ascii="Times New Roman" w:hAnsi="Times New Roman" w:cs="Times New Roman"/>
          <w:sz w:val="20"/>
          <w:szCs w:val="20"/>
        </w:rPr>
        <w:t>[Ru(</w:t>
      </w:r>
      <w:proofErr w:type="spellStart"/>
      <w:r w:rsidRPr="009F45B5">
        <w:rPr>
          <w:rFonts w:ascii="Times New Roman" w:hAnsi="Times New Roman" w:cs="Times New Roman"/>
          <w:sz w:val="20"/>
          <w:szCs w:val="20"/>
        </w:rPr>
        <w:t>bpy</w:t>
      </w:r>
      <w:proofErr w:type="spellEnd"/>
      <w:r w:rsidRPr="009F45B5">
        <w:rPr>
          <w:rFonts w:ascii="Times New Roman" w:hAnsi="Times New Roman" w:cs="Times New Roman"/>
          <w:sz w:val="20"/>
          <w:szCs w:val="20"/>
        </w:rPr>
        <w:t>)</w:t>
      </w:r>
      <w:r w:rsidRPr="009F45B5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9F45B5">
        <w:rPr>
          <w:rFonts w:ascii="Cambria Math" w:hAnsi="Cambria Math" w:cs="Cambria Math"/>
          <w:sz w:val="20"/>
          <w:szCs w:val="20"/>
          <w:vertAlign w:val="subscript"/>
        </w:rPr>
        <w:t>‑</w:t>
      </w:r>
      <w:r w:rsidRPr="009F45B5">
        <w:rPr>
          <w:rFonts w:ascii="Times New Roman" w:hAnsi="Times New Roman" w:cs="Times New Roman"/>
          <w:sz w:val="20"/>
          <w:szCs w:val="20"/>
          <w:vertAlign w:val="subscript"/>
        </w:rPr>
        <w:t>n</w:t>
      </w:r>
      <w:r w:rsidRPr="009F45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F45B5">
        <w:rPr>
          <w:rFonts w:ascii="Times New Roman" w:hAnsi="Times New Roman" w:cs="Times New Roman"/>
          <w:sz w:val="20"/>
          <w:szCs w:val="20"/>
        </w:rPr>
        <w:t>DNP-bpy</w:t>
      </w:r>
      <w:proofErr w:type="spellEnd"/>
      <w:r w:rsidRPr="009F45B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9F45B5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Pr="009F45B5">
        <w:rPr>
          <w:rFonts w:ascii="Times New Roman" w:hAnsi="Times New Roman" w:cs="Times New Roman"/>
          <w:sz w:val="20"/>
          <w:szCs w:val="20"/>
        </w:rPr>
        <w:t>]</w:t>
      </w:r>
      <w:r w:rsidRPr="009F45B5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9F45B5">
        <w:rPr>
          <w:rFonts w:ascii="Times New Roman" w:hAnsi="Times New Roman" w:cs="Times New Roman"/>
          <w:sz w:val="20"/>
          <w:szCs w:val="20"/>
        </w:rPr>
        <w:t xml:space="preserve"> (</w:t>
      </w:r>
      <w:r w:rsidR="009F45B5">
        <w:rPr>
          <w:rFonts w:ascii="Times New Roman" w:hAnsi="Times New Roman" w:cs="Times New Roman"/>
          <w:sz w:val="20"/>
          <w:szCs w:val="20"/>
        </w:rPr>
        <w:t xml:space="preserve">где </w:t>
      </w:r>
      <w:proofErr w:type="spellStart"/>
      <w:r w:rsidRPr="009F45B5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9F45B5">
        <w:rPr>
          <w:rFonts w:ascii="Times New Roman" w:hAnsi="Times New Roman" w:cs="Times New Roman"/>
          <w:sz w:val="20"/>
          <w:szCs w:val="20"/>
        </w:rPr>
        <w:t xml:space="preserve"> = 1, 2, 3</w:t>
      </w:r>
      <w:r w:rsidR="009F45B5">
        <w:rPr>
          <w:rFonts w:ascii="Times New Roman" w:hAnsi="Times New Roman" w:cs="Times New Roman"/>
          <w:sz w:val="20"/>
          <w:szCs w:val="20"/>
        </w:rPr>
        <w:t xml:space="preserve">), для </w:t>
      </w:r>
      <w:r w:rsidR="00E8387E">
        <w:rPr>
          <w:rFonts w:ascii="Times New Roman" w:hAnsi="Times New Roman" w:cs="Times New Roman"/>
          <w:sz w:val="20"/>
          <w:szCs w:val="20"/>
        </w:rPr>
        <w:t>их дальнейшего применения</w:t>
      </w:r>
      <w:r w:rsidR="009F45B5">
        <w:rPr>
          <w:rFonts w:ascii="Times New Roman" w:hAnsi="Times New Roman" w:cs="Times New Roman"/>
          <w:sz w:val="20"/>
          <w:szCs w:val="20"/>
        </w:rPr>
        <w:t xml:space="preserve"> в качестве флуоресцентных зондов, чувствительных к </w:t>
      </w:r>
      <w:proofErr w:type="spellStart"/>
      <w:r w:rsidR="009F45B5">
        <w:rPr>
          <w:rFonts w:ascii="Times New Roman" w:hAnsi="Times New Roman" w:cs="Times New Roman"/>
          <w:sz w:val="20"/>
          <w:szCs w:val="20"/>
        </w:rPr>
        <w:t>тиофенол</w:t>
      </w:r>
      <w:r w:rsidR="00E8387E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="00E8387E">
        <w:rPr>
          <w:rFonts w:ascii="Times New Roman" w:hAnsi="Times New Roman" w:cs="Times New Roman"/>
          <w:sz w:val="20"/>
          <w:szCs w:val="20"/>
        </w:rPr>
        <w:t xml:space="preserve">, широко использующимся в производстве </w:t>
      </w:r>
      <w:r w:rsidR="00E8387E" w:rsidRPr="00E8387E">
        <w:rPr>
          <w:rFonts w:ascii="Times New Roman" w:hAnsi="Times New Roman" w:cs="Times New Roman"/>
          <w:sz w:val="20"/>
          <w:szCs w:val="20"/>
        </w:rPr>
        <w:t>красителей, полимеров и пестицидов</w:t>
      </w:r>
      <w:r w:rsidR="000F4F4E">
        <w:rPr>
          <w:rFonts w:ascii="Times New Roman" w:hAnsi="Times New Roman" w:cs="Times New Roman"/>
          <w:sz w:val="20"/>
          <w:szCs w:val="20"/>
        </w:rPr>
        <w:t>, а также в фармацевтики и биохимических исследованиях</w:t>
      </w:r>
      <w:r w:rsidR="00E8387E" w:rsidRPr="00E8387E">
        <w:rPr>
          <w:rFonts w:ascii="Times New Roman" w:hAnsi="Times New Roman" w:cs="Times New Roman"/>
          <w:sz w:val="20"/>
          <w:szCs w:val="20"/>
        </w:rPr>
        <w:t>.</w:t>
      </w:r>
      <w:r w:rsidR="00E8387E">
        <w:rPr>
          <w:rFonts w:ascii="Times New Roman" w:hAnsi="Times New Roman" w:cs="Times New Roman"/>
          <w:sz w:val="20"/>
          <w:szCs w:val="20"/>
        </w:rPr>
        <w:t xml:space="preserve"> Изучить фотофизические свойства этого перспективного флуоресцентного зонда помог </w:t>
      </w:r>
      <w:hyperlink r:id="rId8" w:history="1">
        <w:r w:rsidR="00E8387E" w:rsidRPr="00FE3585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спектрофлу</w:t>
        </w:r>
        <w:r w:rsidR="00FE3585" w:rsidRPr="00FE3585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ориметр с цифровой обработкой сигнала в частотной области (</w:t>
        </w:r>
        <w:r w:rsidR="00FE3585" w:rsidRPr="00FE3585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  <w:lang w:val="en-US"/>
          </w:rPr>
          <w:t>ISS</w:t>
        </w:r>
        <w:r w:rsidR="00FE3585" w:rsidRPr="00FE3585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, США)</w:t>
        </w:r>
      </w:hyperlink>
      <w:r w:rsidR="00FE3585">
        <w:rPr>
          <w:rFonts w:ascii="Times New Roman" w:hAnsi="Times New Roman" w:cs="Times New Roman"/>
          <w:sz w:val="20"/>
          <w:szCs w:val="20"/>
        </w:rPr>
        <w:t>.</w:t>
      </w:r>
      <w:r w:rsidR="00FE3585" w:rsidRPr="00FE3585">
        <w:rPr>
          <w:rFonts w:ascii="Times New Roman" w:hAnsi="Times New Roman" w:cs="Times New Roman"/>
          <w:sz w:val="20"/>
          <w:szCs w:val="20"/>
        </w:rPr>
        <w:t xml:space="preserve"> </w:t>
      </w:r>
      <w:r w:rsidR="000F4F4E">
        <w:rPr>
          <w:rFonts w:ascii="Times New Roman" w:hAnsi="Times New Roman" w:cs="Times New Roman"/>
          <w:sz w:val="20"/>
          <w:szCs w:val="20"/>
        </w:rPr>
        <w:t>Особенностью</w:t>
      </w:r>
      <w:r w:rsidR="000F4F4E" w:rsidRPr="00AE3C8A">
        <w:rPr>
          <w:rFonts w:ascii="Times New Roman" w:hAnsi="Times New Roman" w:cs="Times New Roman"/>
          <w:sz w:val="20"/>
          <w:szCs w:val="20"/>
        </w:rPr>
        <w:t xml:space="preserve"> данного спектрофлуориметра является технология </w:t>
      </w:r>
      <w:r w:rsidR="000F4F4E"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t>модуляции возбуждения флуоресценции с использованием различных источников света и детекторов и последующей цифровой обработкой сигнала.</w:t>
      </w:r>
      <w:r w:rsidR="000F4F4E" w:rsidRPr="00AE3C8A">
        <w:rPr>
          <w:rFonts w:ascii="Times New Roman" w:hAnsi="Times New Roman" w:cs="Times New Roman"/>
          <w:bCs/>
          <w:iCs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0F4F4E" w:rsidRPr="00AE3C8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Источники работают с установленной пользователем модуляцией частоты сигнала. Сигнал флуоресценции содержит основную частоту, повторяющую скорость работы лазера, и гармонически</w:t>
      </w:r>
      <w:r w:rsidR="000F4F4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е сигналы, отстающие по фазе.  </w:t>
      </w:r>
      <w:r w:rsidR="000F4F4E" w:rsidRPr="00AE3C8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Математическая обработка полученного сигнала позволяет определить амплитуду и отставание по фазе для каждого компонента. По разности фаз между флуоресценцией и возбуждением на заданной частоте и по отношению амплитуд  происходит вычисление времени жизни флуоресценции</w:t>
      </w:r>
      <w:r w:rsidR="000F4F4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.</w:t>
      </w:r>
    </w:p>
    <w:p w:rsidR="000F4F4E" w:rsidRDefault="00F06C26" w:rsidP="00F06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2933700"/>
            <wp:effectExtent l="19050" t="0" r="9525" b="0"/>
            <wp:docPr id="3" name="Рисунок 3" descr="C:\Users\a.shnitko\AppData\Local\Microsoft\Windows\INetCache\Content.Word\Меченные комплексом рутения клетки H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shnitko\AppData\Local\Microsoft\Windows\INetCache\Content.Word\Меченные комплексом рутения клетки He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4E" w:rsidRPr="00F06C26" w:rsidRDefault="000F4F4E" w:rsidP="00F0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6C26">
        <w:rPr>
          <w:rFonts w:ascii="Times New Roman" w:hAnsi="Times New Roman" w:cs="Times New Roman"/>
          <w:i/>
          <w:sz w:val="20"/>
          <w:szCs w:val="20"/>
        </w:rPr>
        <w:t xml:space="preserve">Рис. 1. </w:t>
      </w:r>
      <w:r w:rsidR="00F06C26" w:rsidRPr="00F06C26">
        <w:rPr>
          <w:rFonts w:ascii="Times New Roman" w:hAnsi="Times New Roman" w:cs="Times New Roman"/>
          <w:i/>
          <w:sz w:val="20"/>
          <w:szCs w:val="20"/>
        </w:rPr>
        <w:t>Изменение люминесценции меченных</w:t>
      </w:r>
      <w:r w:rsidRPr="00F06C26">
        <w:rPr>
          <w:rFonts w:ascii="Times New Roman" w:hAnsi="Times New Roman" w:cs="Times New Roman"/>
          <w:i/>
          <w:sz w:val="20"/>
          <w:szCs w:val="20"/>
        </w:rPr>
        <w:t xml:space="preserve"> комплексом [Ru(</w:t>
      </w:r>
      <w:proofErr w:type="spellStart"/>
      <w:r w:rsidRPr="00F06C26">
        <w:rPr>
          <w:rFonts w:ascii="Times New Roman" w:hAnsi="Times New Roman" w:cs="Times New Roman"/>
          <w:i/>
          <w:sz w:val="20"/>
          <w:szCs w:val="20"/>
        </w:rPr>
        <w:t>bpy</w:t>
      </w:r>
      <w:proofErr w:type="spellEnd"/>
      <w:r w:rsidRPr="00F06C26">
        <w:rPr>
          <w:rFonts w:ascii="Times New Roman" w:hAnsi="Times New Roman" w:cs="Times New Roman"/>
          <w:i/>
          <w:sz w:val="20"/>
          <w:szCs w:val="20"/>
        </w:rPr>
        <w:t>)(</w:t>
      </w:r>
      <w:proofErr w:type="spellStart"/>
      <w:r w:rsidRPr="00F06C26">
        <w:rPr>
          <w:rFonts w:ascii="Times New Roman" w:hAnsi="Times New Roman" w:cs="Times New Roman"/>
          <w:i/>
          <w:sz w:val="20"/>
          <w:szCs w:val="20"/>
        </w:rPr>
        <w:t>DNP-bpy</w:t>
      </w:r>
      <w:proofErr w:type="spellEnd"/>
      <w:r w:rsidRPr="00F06C26">
        <w:rPr>
          <w:rFonts w:ascii="Times New Roman" w:hAnsi="Times New Roman" w:cs="Times New Roman"/>
          <w:i/>
          <w:sz w:val="20"/>
          <w:szCs w:val="20"/>
        </w:rPr>
        <w:t>)</w:t>
      </w:r>
      <w:r w:rsidRPr="00F06C26">
        <w:rPr>
          <w:rFonts w:ascii="Times New Roman" w:hAnsi="Times New Roman" w:cs="Times New Roman"/>
          <w:i/>
          <w:sz w:val="20"/>
          <w:szCs w:val="20"/>
          <w:vertAlign w:val="subscript"/>
        </w:rPr>
        <w:t>2</w:t>
      </w:r>
      <w:r w:rsidRPr="00F06C26">
        <w:rPr>
          <w:rFonts w:ascii="Times New Roman" w:hAnsi="Times New Roman" w:cs="Times New Roman"/>
          <w:i/>
          <w:sz w:val="20"/>
          <w:szCs w:val="20"/>
        </w:rPr>
        <w:t>]</w:t>
      </w:r>
      <w:r w:rsidRPr="00F06C26">
        <w:rPr>
          <w:rFonts w:ascii="Times New Roman" w:hAnsi="Times New Roman" w:cs="Times New Roman"/>
          <w:i/>
          <w:sz w:val="20"/>
          <w:szCs w:val="20"/>
          <w:vertAlign w:val="superscript"/>
        </w:rPr>
        <w:t>2+</w:t>
      </w:r>
      <w:r w:rsidR="00F06C26" w:rsidRPr="00F06C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F06C26" w:rsidRPr="00F06C26">
        <w:rPr>
          <w:rFonts w:ascii="Times New Roman" w:hAnsi="Times New Roman" w:cs="Times New Roman"/>
          <w:i/>
          <w:sz w:val="20"/>
          <w:szCs w:val="20"/>
        </w:rPr>
        <w:t xml:space="preserve">клеток линии </w:t>
      </w:r>
      <w:proofErr w:type="spellStart"/>
      <w:r w:rsidR="00F06C26" w:rsidRPr="00F06C26">
        <w:rPr>
          <w:rFonts w:ascii="Times New Roman" w:hAnsi="Times New Roman" w:cs="Times New Roman"/>
          <w:i/>
          <w:sz w:val="20"/>
          <w:szCs w:val="20"/>
          <w:lang w:val="en-US"/>
        </w:rPr>
        <w:t>HeLa</w:t>
      </w:r>
      <w:proofErr w:type="spellEnd"/>
      <w:r w:rsidR="00F06C26" w:rsidRPr="00F06C26">
        <w:rPr>
          <w:rFonts w:ascii="Times New Roman" w:hAnsi="Times New Roman" w:cs="Times New Roman"/>
          <w:i/>
          <w:sz w:val="20"/>
          <w:szCs w:val="20"/>
        </w:rPr>
        <w:t xml:space="preserve"> в присутствии тиофенола в процессе инкубации. </w:t>
      </w:r>
    </w:p>
    <w:p w:rsidR="00E61E36" w:rsidRPr="00FE3585" w:rsidRDefault="000F4F4E" w:rsidP="00F06C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Исследователям удалось получить комплексы рутения (II)</w:t>
      </w:r>
      <w:r w:rsidRPr="000F4F4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0F4F4E">
        <w:rPr>
          <w:rFonts w:ascii="Times New Roman" w:hAnsi="Times New Roman" w:cs="Times New Roman"/>
          <w:sz w:val="20"/>
          <w:szCs w:val="20"/>
        </w:rPr>
        <w:t>с 2,2'-бипиридином</w:t>
      </w:r>
      <w:r>
        <w:rPr>
          <w:rFonts w:ascii="Times New Roman" w:hAnsi="Times New Roman" w:cs="Times New Roman"/>
          <w:sz w:val="20"/>
          <w:szCs w:val="20"/>
        </w:rPr>
        <w:t xml:space="preserve"> и его производными, сочетающие высокую селективность и чувствительность к тиофенолу с высоким динамическим диапазоном</w:t>
      </w:r>
      <w:r w:rsidR="00F06C26">
        <w:rPr>
          <w:rFonts w:ascii="Times New Roman" w:hAnsi="Times New Roman" w:cs="Times New Roman"/>
          <w:sz w:val="20"/>
          <w:szCs w:val="20"/>
        </w:rPr>
        <w:t xml:space="preserve"> и низким пределом обнаружения. При этом учёные показали, что квантовый выход люминесценции для комплексов рутения с </w:t>
      </w:r>
      <w:r w:rsidR="00F06C26" w:rsidRPr="000F4F4E">
        <w:rPr>
          <w:rFonts w:ascii="Times New Roman" w:hAnsi="Times New Roman" w:cs="Times New Roman"/>
          <w:sz w:val="20"/>
          <w:szCs w:val="20"/>
        </w:rPr>
        <w:t>2,2'-</w:t>
      </w:r>
      <w:r w:rsidR="00F06C26">
        <w:rPr>
          <w:rFonts w:ascii="Times New Roman" w:hAnsi="Times New Roman" w:cs="Times New Roman"/>
          <w:sz w:val="20"/>
          <w:szCs w:val="20"/>
        </w:rPr>
        <w:t xml:space="preserve">бипиридином и его производными зависит от структуры и симметрии комплекса. Полученные соединения были успешно использованы для количественного </w:t>
      </w:r>
      <w:r w:rsidR="00A21A16">
        <w:rPr>
          <w:rFonts w:ascii="Times New Roman" w:hAnsi="Times New Roman" w:cs="Times New Roman"/>
          <w:sz w:val="20"/>
          <w:szCs w:val="20"/>
        </w:rPr>
        <w:t xml:space="preserve">определения и визуализации тиофенола в живых клетках. Исследователи уверены, что полученные ими результаты </w:t>
      </w:r>
      <w:r w:rsidR="001D1757">
        <w:rPr>
          <w:rFonts w:ascii="Times New Roman" w:hAnsi="Times New Roman" w:cs="Times New Roman"/>
          <w:sz w:val="20"/>
          <w:szCs w:val="20"/>
        </w:rPr>
        <w:t>в дальнейшем могут быть использованы для получения новых флуоресцентных зондов на основе комплексов рутения.</w:t>
      </w:r>
    </w:p>
    <w:p w:rsidR="002B4FE8" w:rsidRDefault="002B4FE8" w:rsidP="001D1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37DD" w:rsidRPr="00AE3C8A" w:rsidRDefault="00C237DD" w:rsidP="00C237D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t>Подготовил Алексей Шнитко</w:t>
      </w:r>
    </w:p>
    <w:p w:rsidR="00C237DD" w:rsidRPr="00AE3C8A" w:rsidRDefault="00C237DD" w:rsidP="00C237D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t>ООО «НКЦ «</w:t>
      </w:r>
      <w:r w:rsidR="005B6FF1"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"https://lab-test.ru" </w:instrText>
      </w:r>
      <w:r w:rsidR="005B6FF1"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t>ЛАБТЕСТ»</w:t>
      </w:r>
    </w:p>
    <w:p w:rsidR="00C237DD" w:rsidRPr="00AE3C8A" w:rsidRDefault="00C237DD" w:rsidP="00C237D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t>тел.:      +7 495 605 35 07</w:t>
      </w:r>
    </w:p>
    <w:p w:rsidR="00C237DD" w:rsidRPr="00AE3C8A" w:rsidRDefault="00C237DD" w:rsidP="00C237D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t>факс:     +7 495 605 39 44</w:t>
      </w:r>
      <w:r w:rsidR="005B6FF1"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p w:rsidR="00C237DD" w:rsidRPr="00AE3C8A" w:rsidRDefault="005B6FF1" w:rsidP="00C237D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C237DD" w:rsidRPr="00AE3C8A">
          <w:rPr>
            <w:rFonts w:ascii="Times New Roman" w:hAnsi="Times New Roman" w:cs="Times New Roman"/>
            <w:color w:val="000000" w:themeColor="text1"/>
            <w:sz w:val="20"/>
            <w:szCs w:val="20"/>
          </w:rPr>
          <w:t>a.shnitko@lab-test.ru</w:t>
        </w:r>
      </w:hyperlink>
    </w:p>
    <w:p w:rsidR="00C237DD" w:rsidRPr="00AE3C8A" w:rsidRDefault="005B6FF1" w:rsidP="00C237D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1" w:history="1">
        <w:r w:rsidR="00C237DD" w:rsidRPr="00AE3C8A">
          <w:rPr>
            <w:rFonts w:ascii="Times New Roman" w:hAnsi="Times New Roman" w:cs="Times New Roman"/>
            <w:color w:val="000000" w:themeColor="text1"/>
            <w:sz w:val="20"/>
            <w:szCs w:val="20"/>
          </w:rPr>
          <w:t>www.lab-test.ru</w:t>
        </w:r>
      </w:hyperlink>
    </w:p>
    <w:p w:rsidR="002B4FE8" w:rsidRPr="002B4FE8" w:rsidRDefault="002B4FE8" w:rsidP="002B4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4B8B" w:rsidRDefault="00074B8B" w:rsidP="00074B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</w:p>
    <w:p w:rsidR="00074B8B" w:rsidRPr="001006EA" w:rsidRDefault="00074B8B" w:rsidP="0010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2E6B" w:rsidRPr="001006EA" w:rsidRDefault="000D2E6B" w:rsidP="001C6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6237" w:rsidRPr="001006EA" w:rsidRDefault="00346237" w:rsidP="001C6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0D2D" w:rsidRPr="001006EA" w:rsidRDefault="00620D2D" w:rsidP="001C6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04F69" w:rsidRPr="001006EA" w:rsidRDefault="00D04F69" w:rsidP="008761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48A2" w:rsidRPr="001006EA" w:rsidRDefault="008E48A2" w:rsidP="008761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50C6" w:rsidRPr="001006EA" w:rsidRDefault="00A960E4" w:rsidP="00A960E4">
      <w:pPr>
        <w:tabs>
          <w:tab w:val="left" w:pos="4035"/>
        </w:tabs>
        <w:rPr>
          <w:rFonts w:ascii="Times New Roman" w:hAnsi="Times New Roman" w:cs="Times New Roman"/>
          <w:sz w:val="20"/>
          <w:szCs w:val="20"/>
        </w:rPr>
      </w:pPr>
      <w:r w:rsidRPr="001006EA">
        <w:rPr>
          <w:rFonts w:ascii="Times New Roman" w:hAnsi="Times New Roman" w:cs="Times New Roman"/>
          <w:sz w:val="20"/>
          <w:szCs w:val="20"/>
        </w:rPr>
        <w:tab/>
      </w:r>
    </w:p>
    <w:sectPr w:rsidR="009550C6" w:rsidRPr="001006EA" w:rsidSect="00E2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50C6"/>
    <w:rsid w:val="00021D97"/>
    <w:rsid w:val="000347CB"/>
    <w:rsid w:val="00041440"/>
    <w:rsid w:val="00042325"/>
    <w:rsid w:val="00074B8B"/>
    <w:rsid w:val="00084370"/>
    <w:rsid w:val="000C49AF"/>
    <w:rsid w:val="000D2E6B"/>
    <w:rsid w:val="000F4F4E"/>
    <w:rsid w:val="001006EA"/>
    <w:rsid w:val="00104BFA"/>
    <w:rsid w:val="001332D6"/>
    <w:rsid w:val="00195720"/>
    <w:rsid w:val="001C6A7E"/>
    <w:rsid w:val="001D1757"/>
    <w:rsid w:val="001F3EB5"/>
    <w:rsid w:val="002011FC"/>
    <w:rsid w:val="00253FA8"/>
    <w:rsid w:val="002B4FE8"/>
    <w:rsid w:val="00346237"/>
    <w:rsid w:val="003C064F"/>
    <w:rsid w:val="004149E2"/>
    <w:rsid w:val="00465080"/>
    <w:rsid w:val="004843C4"/>
    <w:rsid w:val="00500A41"/>
    <w:rsid w:val="00550C79"/>
    <w:rsid w:val="00573588"/>
    <w:rsid w:val="0057639F"/>
    <w:rsid w:val="005878F1"/>
    <w:rsid w:val="005B4C7A"/>
    <w:rsid w:val="005B6FF1"/>
    <w:rsid w:val="005E2670"/>
    <w:rsid w:val="005F628C"/>
    <w:rsid w:val="00616828"/>
    <w:rsid w:val="00620D2D"/>
    <w:rsid w:val="00633AA0"/>
    <w:rsid w:val="006575B0"/>
    <w:rsid w:val="00670CDE"/>
    <w:rsid w:val="007243E5"/>
    <w:rsid w:val="00830F39"/>
    <w:rsid w:val="00837F74"/>
    <w:rsid w:val="00862B1D"/>
    <w:rsid w:val="00876160"/>
    <w:rsid w:val="008B6A25"/>
    <w:rsid w:val="008C60CC"/>
    <w:rsid w:val="008E48A2"/>
    <w:rsid w:val="00924C0A"/>
    <w:rsid w:val="00934AFD"/>
    <w:rsid w:val="009550C6"/>
    <w:rsid w:val="009B0729"/>
    <w:rsid w:val="009E6510"/>
    <w:rsid w:val="009F45B5"/>
    <w:rsid w:val="00A025D6"/>
    <w:rsid w:val="00A21A16"/>
    <w:rsid w:val="00A50D99"/>
    <w:rsid w:val="00A66066"/>
    <w:rsid w:val="00A752FE"/>
    <w:rsid w:val="00A942FB"/>
    <w:rsid w:val="00A960E4"/>
    <w:rsid w:val="00AA55AE"/>
    <w:rsid w:val="00AF516A"/>
    <w:rsid w:val="00B37634"/>
    <w:rsid w:val="00B41EF7"/>
    <w:rsid w:val="00B77278"/>
    <w:rsid w:val="00C237DD"/>
    <w:rsid w:val="00C96826"/>
    <w:rsid w:val="00CA18D2"/>
    <w:rsid w:val="00CB3901"/>
    <w:rsid w:val="00CE356E"/>
    <w:rsid w:val="00CF702F"/>
    <w:rsid w:val="00D04F69"/>
    <w:rsid w:val="00D37A9F"/>
    <w:rsid w:val="00D821B5"/>
    <w:rsid w:val="00DA11C5"/>
    <w:rsid w:val="00DB0B63"/>
    <w:rsid w:val="00DB72BB"/>
    <w:rsid w:val="00DF0337"/>
    <w:rsid w:val="00E279A8"/>
    <w:rsid w:val="00E55140"/>
    <w:rsid w:val="00E61E36"/>
    <w:rsid w:val="00E8387E"/>
    <w:rsid w:val="00EB3C53"/>
    <w:rsid w:val="00F06C26"/>
    <w:rsid w:val="00FA0701"/>
    <w:rsid w:val="00F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0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50C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0C6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9550C6"/>
    <w:rPr>
      <w:i/>
      <w:iCs/>
    </w:rPr>
  </w:style>
  <w:style w:type="character" w:customStyle="1" w:styleId="citationyear">
    <w:name w:val="citation_year"/>
    <w:basedOn w:val="a0"/>
    <w:rsid w:val="009550C6"/>
  </w:style>
  <w:style w:type="character" w:customStyle="1" w:styleId="citationvolume">
    <w:name w:val="citation_volume"/>
    <w:basedOn w:val="a0"/>
    <w:rsid w:val="009550C6"/>
  </w:style>
  <w:style w:type="character" w:styleId="a7">
    <w:name w:val="FollowedHyperlink"/>
    <w:basedOn w:val="a0"/>
    <w:uiPriority w:val="99"/>
    <w:semiHidden/>
    <w:unhideWhenUsed/>
    <w:rsid w:val="00AA55AE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AA55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-test.ru/oborudovanie/nauchnoe-i-kontrolno-analiticheskoe-oborudovanie/molekulyarnyj-analiz/spektrofluorimetry-s-razresheniem-po-vremeni-i-schetom-fotonov2015-10-30-09-43-321519663812/chronosdfd-fluorimetr-s-tsifrovoj-obrabotkoj-signalov-v-cha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b-test.ru" TargetMode="External"/><Relationship Id="rId11" Type="http://schemas.openxmlformats.org/officeDocument/2006/relationships/hyperlink" Target="http://www.lab-test.ru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a.shnitko@lab-test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Labtest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a.shnitko</dc:creator>
  <cp:lastModifiedBy>a.shnitko</cp:lastModifiedBy>
  <cp:revision>24</cp:revision>
  <cp:lastPrinted>2018-10-04T08:47:00Z</cp:lastPrinted>
  <dcterms:created xsi:type="dcterms:W3CDTF">2018-10-05T06:28:00Z</dcterms:created>
  <dcterms:modified xsi:type="dcterms:W3CDTF">2018-10-11T08:55:00Z</dcterms:modified>
</cp:coreProperties>
</file>